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Healthcare in Saudi Arabia</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b/>
          <w:sz w:val="24"/>
          <w:szCs w:val="24"/>
        </w:rPr>
      </w:pPr>
      <w:r>
        <w:rPr>
          <w:rFonts w:ascii="Times New Roman" w:cs="Times New Roman" w:hAnsi="Times New Roman"/>
          <w:b/>
          <w:sz w:val="24"/>
          <w:szCs w:val="24"/>
        </w:rPr>
        <w:t>Introduction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Many nations across the world have been struggling to provide high quality and cost-effective healthcare services to their citizens. Saudi Arabia has not been left out in this quest to provide high quality and cost-effective healthcare services to its nationals. Saudi Arabia has been experiencing increasing costs of healthcare services alongside concerns about the quality of the healthcare services provided by its public healthcare facilities. To address this issue, the country has embarked on efforts that are geared towards restructuring its healthcare system (</w:t>
      </w:r>
      <w:r>
        <w:rPr>
          <w:rFonts w:ascii="Times New Roman" w:cs="Times New Roman" w:hAnsi="Times New Roman"/>
          <w:sz w:val="24"/>
          <w:szCs w:val="24"/>
        </w:rPr>
        <w:t>Walston</w:t>
      </w:r>
      <w:r>
        <w:rPr>
          <w:rFonts w:ascii="Times New Roman" w:cs="Times New Roman" w:hAnsi="Times New Roman"/>
          <w:sz w:val="24"/>
          <w:szCs w:val="24"/>
        </w:rPr>
        <w:t xml:space="preserve"> &amp; Al-Omar, 2008). The country is determined to privatize its public health facilities and introduce insurance coverage for all people – both foreigners and nationals will be covered by the insurance coverage. These efforts will see the country realize improved healthcare quality and the services will be cost-effective. There are several reimbursement methods such as bundled payments, fee-for-service and fee for performance. </w:t>
      </w:r>
    </w:p>
    <w:p>
      <w:pPr>
        <w:pStyle w:val="style0"/>
        <w:spacing w:lineRule="auto" w:line="480"/>
        <w:ind w:firstLine="720"/>
        <w:jc w:val="both"/>
        <w:rPr>
          <w:rFonts w:ascii="Times New Roman" w:cs="Times New Roman" w:hAnsi="Times New Roman"/>
          <w:b/>
          <w:sz w:val="24"/>
          <w:szCs w:val="24"/>
        </w:rPr>
      </w:pPr>
      <w:r>
        <w:rPr>
          <w:rFonts w:ascii="Times New Roman" w:cs="Times New Roman" w:hAnsi="Times New Roman"/>
          <w:b/>
          <w:sz w:val="24"/>
          <w:szCs w:val="24"/>
        </w:rPr>
        <w:t>Types of Payment Reimbursement</w:t>
      </w:r>
    </w:p>
    <w:p>
      <w:pPr>
        <w:pStyle w:val="style0"/>
        <w:spacing w:lineRule="auto" w:line="480"/>
        <w:ind w:firstLine="720"/>
        <w:jc w:val="both"/>
        <w:rPr>
          <w:rFonts w:ascii="Times New Roman" w:cs="Times New Roman" w:hAnsi="Times New Roman"/>
          <w:b/>
          <w:i/>
          <w:sz w:val="24"/>
          <w:szCs w:val="24"/>
        </w:rPr>
      </w:pPr>
      <w:r>
        <w:rPr>
          <w:rFonts w:ascii="Times New Roman" w:cs="Times New Roman" w:hAnsi="Times New Roman"/>
          <w:b/>
          <w:i/>
          <w:sz w:val="24"/>
          <w:szCs w:val="24"/>
        </w:rPr>
        <w:t>For-Fee-Service</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Fee-for-service is a traditional payment model where physicians and healthcare providers are paid by individuals, insurance companies or government agencies, following on the number of services that were provided or the number of procedures that were being ordered. This type of payment involves unbundled payments and thus services are billed and paid for separately. Fee-for-service has been seen as one of the payment models that has significantly made the healthcare costs go high, contributed to wasteful spending, and lacking any incentive that is meant to enhance the quality of healthcare services that are offered to the patients as well as the quality of care in Saudi Arabia health care facilities. Reimbursing of privately held health facilities in Saudi Arabia </w:t>
      </w:r>
      <w:r>
        <w:rPr>
          <w:rFonts w:ascii="Times New Roman" w:cs="Times New Roman" w:hAnsi="Times New Roman"/>
          <w:sz w:val="24"/>
          <w:szCs w:val="24"/>
        </w:rPr>
        <w:t>on a fee-for-service basis without having first considering the quality, as well as the consumption controls, has yielded to increase in healthcare costs. However, fee-for-service accounts for around 20% of the country's current healthcare costs, this method has appeared to be increasing the incentives for more services so that the physicians can end up benefitting more from the payments made (</w:t>
      </w:r>
      <w:r>
        <w:rPr>
          <w:rFonts w:ascii="Times New Roman" w:cs="Times New Roman" w:hAnsi="Times New Roman"/>
          <w:sz w:val="24"/>
          <w:szCs w:val="24"/>
        </w:rPr>
        <w:t>Walston</w:t>
      </w:r>
      <w:r>
        <w:rPr>
          <w:rFonts w:ascii="Times New Roman" w:cs="Times New Roman" w:hAnsi="Times New Roman"/>
          <w:sz w:val="24"/>
          <w:szCs w:val="24"/>
        </w:rPr>
        <w:t xml:space="preserve">, et al., 2008). </w:t>
      </w:r>
    </w:p>
    <w:p>
      <w:pPr>
        <w:pStyle w:val="style0"/>
        <w:spacing w:lineRule="auto" w:line="480"/>
        <w:ind w:firstLine="720"/>
        <w:jc w:val="both"/>
        <w:rPr>
          <w:rFonts w:ascii="Times New Roman" w:cs="Times New Roman" w:hAnsi="Times New Roman"/>
          <w:b/>
          <w:i/>
          <w:sz w:val="24"/>
          <w:szCs w:val="24"/>
        </w:rPr>
      </w:pPr>
      <w:r>
        <w:rPr>
          <w:rFonts w:ascii="Times New Roman" w:cs="Times New Roman" w:hAnsi="Times New Roman"/>
          <w:b/>
          <w:i/>
          <w:sz w:val="24"/>
          <w:szCs w:val="24"/>
        </w:rPr>
        <w:t>Bundled Payments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Bundled Payments for care improvement is an initiative that is meant to improve on the quality of healthcare services at relatively low cost. Under the bundled payments, physicians and other healthcare professionals have entered into payment arrangements which are guided by financial and performance accountability for periods of care. These efforts are meant to establish healthcare models through which the healthcare organizations, healthcare professionals as well as the physicians will increase quality and care coordination at a lower cost (</w:t>
      </w:r>
      <w:r>
        <w:rPr>
          <w:rFonts w:ascii="Times New Roman" w:cs="Times New Roman" w:hAnsi="Times New Roman"/>
          <w:sz w:val="24"/>
          <w:szCs w:val="24"/>
        </w:rPr>
        <w:t>Khan &amp;</w:t>
      </w:r>
      <w:r>
        <w:rPr>
          <w:rFonts w:ascii="Times New Roman" w:cs="Times New Roman" w:hAnsi="Times New Roman"/>
          <w:sz w:val="24"/>
          <w:szCs w:val="24"/>
        </w:rPr>
        <w:t xml:space="preserve"> </w:t>
      </w:r>
      <w:r>
        <w:rPr>
          <w:rFonts w:ascii="Times New Roman" w:cs="Times New Roman" w:hAnsi="Times New Roman"/>
          <w:sz w:val="24"/>
          <w:szCs w:val="24"/>
        </w:rPr>
        <w:t>Aljadhey</w:t>
      </w:r>
      <w:r>
        <w:rPr>
          <w:rFonts w:ascii="Times New Roman" w:cs="Times New Roman" w:hAnsi="Times New Roman"/>
          <w:sz w:val="24"/>
          <w:szCs w:val="24"/>
        </w:rPr>
        <w:t xml:space="preserve">, 2016). Additionally, apart from assessing the quality of patient outcomes and their experiences, these efforts are also meant to monitor for unintended consequences as well as the number of certain clinical episodes.  </w:t>
      </w:r>
    </w:p>
    <w:p>
      <w:pPr>
        <w:pStyle w:val="style0"/>
        <w:spacing w:lineRule="auto" w:line="480"/>
        <w:ind w:firstLine="720"/>
        <w:jc w:val="both"/>
        <w:rPr>
          <w:rFonts w:ascii="Times New Roman" w:cs="Times New Roman" w:hAnsi="Times New Roman"/>
          <w:b/>
          <w:i/>
          <w:sz w:val="24"/>
          <w:szCs w:val="24"/>
        </w:rPr>
      </w:pPr>
      <w:r>
        <w:rPr>
          <w:rFonts w:ascii="Times New Roman" w:cs="Times New Roman" w:hAnsi="Times New Roman"/>
          <w:b/>
          <w:i/>
          <w:sz w:val="24"/>
          <w:szCs w:val="24"/>
        </w:rPr>
        <w:t>Fee-For-Performance</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Fee-for performance refers to initiatives that are aimed at improving the quality, efficiency and the overall value of healthcare services. This kind of payment model is based on providing financial incentives to physicians, hospitals and other healthcare professionals to ensure that they have carried out improvements within the healthcare sector to achieve optimal results for patients (Khan, et al., 2016). In other words, this model is focused on paying healthcare providers who achieve better outcomes for their patients. </w:t>
      </w:r>
    </w:p>
    <w:p>
      <w:pPr>
        <w:pStyle w:val="style0"/>
        <w:spacing w:lineRule="auto" w:line="480"/>
        <w:ind w:firstLine="720"/>
        <w:jc w:val="both"/>
        <w:rPr>
          <w:rFonts w:ascii="Times New Roman" w:cs="Times New Roman" w:hAnsi="Times New Roman"/>
          <w:b/>
          <w:i/>
          <w:sz w:val="24"/>
          <w:szCs w:val="24"/>
        </w:rPr>
      </w:pPr>
      <w:r>
        <w:rPr>
          <w:rFonts w:ascii="Times New Roman" w:cs="Times New Roman" w:hAnsi="Times New Roman"/>
          <w:b/>
          <w:i/>
          <w:sz w:val="24"/>
          <w:szCs w:val="24"/>
        </w:rPr>
        <w:t>Pay-For-Coordination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Under pay-for-coordination, a healthcare provider gets incentives for leading and coordinating care between several healthcare providers among other specialists who are involved in managing a unified care plan for patients while ensuring efficiency and quality.</w:t>
      </w:r>
    </w:p>
    <w:p>
      <w:pPr>
        <w:pStyle w:val="style0"/>
        <w:spacing w:lineRule="auto" w:line="480"/>
        <w:ind w:firstLine="720"/>
        <w:jc w:val="both"/>
        <w:rPr>
          <w:rFonts w:ascii="Times New Roman" w:cs="Times New Roman" w:hAnsi="Times New Roman"/>
          <w:b/>
          <w:sz w:val="24"/>
          <w:szCs w:val="24"/>
        </w:rPr>
      </w:pPr>
      <w:r>
        <w:rPr>
          <w:rFonts w:ascii="Times New Roman" w:cs="Times New Roman" w:hAnsi="Times New Roman"/>
          <w:b/>
          <w:sz w:val="24"/>
          <w:szCs w:val="24"/>
        </w:rPr>
        <w:t>Advantages and Disadvantages of Reimbursement Methods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Fee-for-service has been the most favored mode of reimbursement by most physicians since they would be paid for delivering the best care to their patients according to their standards. Also, it offers flexibility to the patient since they would go to any healthcare provider without seeking plan approval first (Institute of Medicine (U.S.), 2007). However, it is the most expensive model of reimbursement since the patient will pay all the costs out of their pocket. Also, it has been criticized as being a façade for hiding the self-interest of the healthcare providers.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Bundled payments improve coordination among various healthcare providers. The different healthcare providers will coordinate to provide high-quality services at a relatively low cost. The bundled payment model also provides for accountability for care during a certain care period or episode.  On the other hand, bundled payment models lack incentives to reduce unnecessary episodes. The insurance or any other party that is supposed to pay for the healthcare services offered to a certain person does not provide the healthcare providers with incentives to reduce the unnecessary episode care (</w:t>
      </w:r>
      <w:r>
        <w:rPr>
          <w:rFonts w:ascii="Times New Roman" w:cs="Times New Roman" w:hAnsi="Times New Roman"/>
          <w:sz w:val="24"/>
          <w:szCs w:val="24"/>
        </w:rPr>
        <w:t>Tulchinsky</w:t>
      </w:r>
      <w:r>
        <w:rPr>
          <w:rFonts w:ascii="Times New Roman" w:cs="Times New Roman" w:hAnsi="Times New Roman"/>
          <w:sz w:val="24"/>
          <w:szCs w:val="24"/>
        </w:rPr>
        <w:t xml:space="preserve"> &amp; </w:t>
      </w:r>
      <w:r>
        <w:rPr>
          <w:rFonts w:ascii="Times New Roman" w:cs="Times New Roman" w:hAnsi="Times New Roman"/>
          <w:sz w:val="24"/>
          <w:szCs w:val="24"/>
        </w:rPr>
        <w:t>Varavikova</w:t>
      </w:r>
      <w:r>
        <w:rPr>
          <w:rFonts w:ascii="Times New Roman" w:cs="Times New Roman" w:hAnsi="Times New Roman"/>
          <w:sz w:val="24"/>
          <w:szCs w:val="24"/>
        </w:rPr>
        <w:t xml:space="preserve">, 2009). The healthcare providers will also tend to avoid patients who appear as though they might exceed the average episode payment.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pay-for-performance payment model encourages the efficiency of care. The models encourage the healthcare providers to work towards providing high-quality services while at the </w:t>
      </w:r>
      <w:r>
        <w:rPr>
          <w:rFonts w:ascii="Times New Roman" w:cs="Times New Roman" w:hAnsi="Times New Roman"/>
          <w:sz w:val="24"/>
          <w:szCs w:val="24"/>
        </w:rPr>
        <w:t xml:space="preserve">same time observing the costs that are incurred. The payment model also supports improvement by emphasizing on the outcome of the care provided to the patients (Institute of Medicine (U.S.), 2007). On the other hand, pay-for-performance has cons and one of them is that the burden of the administrative work could lead to a decline in focus concerning patient care. Also, the payment model could lead to avoidance of the high-risk patients and dismiss the patients who are not compliant with the terms. </w:t>
      </w:r>
    </w:p>
    <w:p>
      <w:pPr>
        <w:pStyle w:val="style0"/>
        <w:spacing w:lineRule="auto" w:line="480"/>
        <w:ind w:firstLine="720"/>
        <w:jc w:val="both"/>
        <w:rPr>
          <w:rFonts w:ascii="Times New Roman" w:cs="Times New Roman" w:hAnsi="Times New Roman"/>
          <w:b/>
          <w:sz w:val="24"/>
          <w:szCs w:val="24"/>
        </w:rPr>
      </w:pPr>
      <w:r>
        <w:rPr>
          <w:rFonts w:ascii="Times New Roman" w:cs="Times New Roman" w:hAnsi="Times New Roman"/>
          <w:b/>
          <w:sz w:val="24"/>
          <w:szCs w:val="24"/>
        </w:rPr>
        <w:t>The most Effective Reimbursement Method</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most effective reimbursement method is fee-for-performance. This reimbursement model shifts the emphasis of care from paying physicians, healthcare providers and hospitals on tests and services that were being ordered to rewarding them based on the efficiency concerning costs and quality of services provided. In fee-for-performance reimbursement method, healthcare professionals are encouraged to engage their patients, provide healthcare appropriate to each patient's circumstances, to invest in technology, evaluate processes, their performance and data as well as aligning their efforts with various other multiple healthcare providers (</w:t>
      </w:r>
      <w:r>
        <w:rPr>
          <w:rFonts w:ascii="Times New Roman" w:cs="Times New Roman" w:hAnsi="Times New Roman"/>
          <w:sz w:val="24"/>
          <w:szCs w:val="24"/>
        </w:rPr>
        <w:t>Tulchinsky</w:t>
      </w:r>
      <w:r>
        <w:rPr>
          <w:rFonts w:ascii="Times New Roman" w:cs="Times New Roman" w:hAnsi="Times New Roman"/>
          <w:sz w:val="24"/>
          <w:szCs w:val="24"/>
        </w:rPr>
        <w:t xml:space="preserve">, et al., 2009). This kind of approach will lead to the healthcare system operating in a form that is based on teamwork and hence will lead to enhancements within the healthcare industry.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Fee-for-performance reimbursement will create a system that will see a shift in healthcare strategy which will bring about benefits to the patients since it will ensure efficiency in terms of costs incurred and high quality of the healthcare services that will be provided. Thus, the health of the entire patient population will improve as well as that of the entire community. </w:t>
      </w:r>
    </w:p>
    <w:p>
      <w:pPr>
        <w:pStyle w:val="style0"/>
        <w:spacing w:lineRule="auto" w:line="480"/>
        <w:ind w:firstLine="720"/>
        <w:jc w:val="both"/>
        <w:rPr>
          <w:rFonts w:ascii="Times New Roman" w:cs="Times New Roman" w:hAnsi="Times New Roman"/>
          <w:b/>
          <w:sz w:val="24"/>
          <w:szCs w:val="24"/>
        </w:rPr>
      </w:pPr>
      <w:r>
        <w:rPr>
          <w:rFonts w:ascii="Times New Roman" w:cs="Times New Roman" w:hAnsi="Times New Roman"/>
          <w:b/>
          <w:sz w:val="24"/>
          <w:szCs w:val="24"/>
        </w:rPr>
        <w:t>Impact of Reimbursement on Healthcare Facilities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Reimbursement systems are meant to provide incentives to the physicians, hospitals and other healthcare providers. These reimbursement systems that provide incentives to healthcare providers might drive physician behavior. Also, these reimbursement models have got an impact on socioeconomic and racial inequalities in access, utilization and the quality of the care provided to the patients (</w:t>
      </w:r>
      <w:r>
        <w:rPr>
          <w:rFonts w:ascii="Times New Roman" w:cs="Times New Roman" w:hAnsi="Times New Roman"/>
          <w:sz w:val="24"/>
          <w:szCs w:val="24"/>
        </w:rPr>
        <w:t>Tulchinsky</w:t>
      </w:r>
      <w:r>
        <w:rPr>
          <w:rFonts w:ascii="Times New Roman" w:cs="Times New Roman" w:hAnsi="Times New Roman"/>
          <w:sz w:val="24"/>
          <w:szCs w:val="24"/>
        </w:rPr>
        <w:t xml:space="preserve">, et al., 2009). These reimbursement models appear to have a limited impact on socioeconomic and racial inequality concerning primary care. </w:t>
      </w:r>
    </w:p>
    <w:p>
      <w:pPr>
        <w:pStyle w:val="style0"/>
        <w:spacing w:lineRule="auto" w:line="480"/>
        <w:ind w:firstLine="720"/>
        <w:jc w:val="both"/>
        <w:rPr>
          <w:rFonts w:ascii="Times New Roman" w:cs="Times New Roman" w:hAnsi="Times New Roman"/>
          <w:b/>
          <w:sz w:val="24"/>
          <w:szCs w:val="24"/>
        </w:rPr>
      </w:pPr>
      <w:r>
        <w:rPr>
          <w:rFonts w:ascii="Times New Roman" w:cs="Times New Roman" w:hAnsi="Times New Roman"/>
          <w:b/>
          <w:sz w:val="24"/>
          <w:szCs w:val="24"/>
        </w:rPr>
        <w:t>Conclusion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In conclusion, there are several types of </w:t>
      </w:r>
      <w:r>
        <w:rPr>
          <w:rFonts w:ascii="Times New Roman" w:cs="Times New Roman" w:hAnsi="Times New Roman"/>
          <w:sz w:val="24"/>
          <w:szCs w:val="24"/>
        </w:rPr>
        <w:t>payment</w:t>
      </w:r>
      <w:r>
        <w:rPr>
          <w:rFonts w:ascii="Times New Roman" w:cs="Times New Roman" w:hAnsi="Times New Roman"/>
          <w:sz w:val="24"/>
          <w:szCs w:val="24"/>
        </w:rPr>
        <w:t xml:space="preserve"> </w:t>
      </w:r>
      <w:r>
        <w:rPr>
          <w:rFonts w:ascii="Times New Roman" w:cs="Times New Roman" w:hAnsi="Times New Roman"/>
          <w:sz w:val="24"/>
          <w:szCs w:val="24"/>
        </w:rPr>
        <w:t>reimbursement such as bundled payments, fee-for-service, pay-for-coordination, and fee-for-performance. All of these types of reimbursement for payments have got impact both the healthcare facilities, healthcare providers and the patients themselves. However, the most effective reimbursement method is fee-for-performance. This reimbursement model shifts the emphasis of care from paying physicians, healthcare providers and hospitals on tests and services that were being ordered to rewarding them based on the efficiency concerning costs and quality of services provided.</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bookmarkStart w:id="0" w:name="_GoBack"/>
    <w:bookmarkEnd w:id="0"/>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ind w:left="720" w:hanging="720"/>
        <w:jc w:val="both"/>
        <w:rPr>
          <w:rFonts w:ascii="Times New Roman" w:cs="Times New Roman" w:eastAsia="Arial Unicode MS" w:hAnsi="Times New Roman"/>
          <w:color w:val="000000"/>
          <w:sz w:val="24"/>
          <w:szCs w:val="24"/>
          <w:shd w:val="clear" w:color="auto" w:fill="ffffff"/>
        </w:rPr>
      </w:pPr>
      <w:r>
        <w:rPr>
          <w:rFonts w:ascii="Times New Roman" w:cs="Times New Roman" w:eastAsia="Arial Unicode MS" w:hAnsi="Times New Roman"/>
          <w:color w:val="000000"/>
          <w:sz w:val="24"/>
          <w:szCs w:val="24"/>
          <w:shd w:val="clear" w:color="auto" w:fill="ffffff"/>
        </w:rPr>
        <w:t>Institute of Medicine (U.S.). (2007). </w:t>
      </w:r>
      <w:r>
        <w:rPr>
          <w:rFonts w:ascii="Times New Roman" w:cs="Times New Roman" w:eastAsia="Arial Unicode MS" w:hAnsi="Times New Roman"/>
          <w:i/>
          <w:iCs/>
          <w:color w:val="000000"/>
          <w:sz w:val="24"/>
          <w:szCs w:val="24"/>
          <w:shd w:val="clear" w:color="auto" w:fill="ffffff"/>
        </w:rPr>
        <w:t>Rewarding provider performance: Aligning incentives in Medicare</w:t>
      </w:r>
      <w:r>
        <w:rPr>
          <w:rFonts w:ascii="Times New Roman" w:cs="Times New Roman" w:eastAsia="Arial Unicode MS" w:hAnsi="Times New Roman"/>
          <w:color w:val="000000"/>
          <w:sz w:val="24"/>
          <w:szCs w:val="24"/>
          <w:shd w:val="clear" w:color="auto" w:fill="ffffff"/>
        </w:rPr>
        <w:t>. Washington, DC: National Academies Press.</w:t>
      </w:r>
    </w:p>
    <w:p>
      <w:pPr>
        <w:pStyle w:val="style0"/>
        <w:spacing w:lineRule="auto" w:line="480"/>
        <w:ind w:left="720" w:hanging="720"/>
        <w:jc w:val="both"/>
        <w:rPr>
          <w:rFonts w:ascii="Times New Roman" w:cs="Times New Roman" w:hAnsi="Times New Roman"/>
          <w:sz w:val="24"/>
          <w:szCs w:val="24"/>
        </w:rPr>
      </w:pPr>
      <w:r>
        <w:rPr>
          <w:rFonts w:ascii="Times New Roman" w:cs="Times New Roman" w:hAnsi="Times New Roman"/>
          <w:color w:val="222222"/>
          <w:sz w:val="24"/>
          <w:szCs w:val="24"/>
          <w:shd w:val="clear" w:color="auto" w:fill="ffffff"/>
        </w:rPr>
        <w:t xml:space="preserve">Khan, T. M., </w:t>
      </w:r>
      <w:r>
        <w:rPr>
          <w:rFonts w:ascii="Times New Roman" w:cs="Times New Roman" w:hAnsi="Times New Roman"/>
          <w:color w:val="222222"/>
          <w:sz w:val="24"/>
          <w:szCs w:val="24"/>
          <w:shd w:val="clear" w:color="auto" w:fill="ffffff"/>
        </w:rPr>
        <w:t>Emeka</w:t>
      </w:r>
      <w:r>
        <w:rPr>
          <w:rFonts w:ascii="Times New Roman" w:cs="Times New Roman" w:hAnsi="Times New Roman"/>
          <w:color w:val="222222"/>
          <w:sz w:val="24"/>
          <w:szCs w:val="24"/>
          <w:shd w:val="clear" w:color="auto" w:fill="ffffff"/>
        </w:rPr>
        <w:t xml:space="preserve">, P., Suleiman, A. K., </w:t>
      </w:r>
      <w:r>
        <w:rPr>
          <w:rFonts w:ascii="Times New Roman" w:cs="Times New Roman" w:hAnsi="Times New Roman"/>
          <w:color w:val="222222"/>
          <w:sz w:val="24"/>
          <w:szCs w:val="24"/>
          <w:shd w:val="clear" w:color="auto" w:fill="ffffff"/>
        </w:rPr>
        <w:t>Alnutafy</w:t>
      </w:r>
      <w:r>
        <w:rPr>
          <w:rFonts w:ascii="Times New Roman" w:cs="Times New Roman" w:hAnsi="Times New Roman"/>
          <w:color w:val="222222"/>
          <w:sz w:val="24"/>
          <w:szCs w:val="24"/>
          <w:shd w:val="clear" w:color="auto" w:fill="ffffff"/>
        </w:rPr>
        <w:t xml:space="preserve">, F. S., &amp; </w:t>
      </w:r>
      <w:r>
        <w:rPr>
          <w:rFonts w:ascii="Times New Roman" w:cs="Times New Roman" w:hAnsi="Times New Roman"/>
          <w:color w:val="222222"/>
          <w:sz w:val="24"/>
          <w:szCs w:val="24"/>
          <w:shd w:val="clear" w:color="auto" w:fill="ffffff"/>
        </w:rPr>
        <w:t>Aljadhey</w:t>
      </w:r>
      <w:r>
        <w:rPr>
          <w:rFonts w:ascii="Times New Roman" w:cs="Times New Roman" w:hAnsi="Times New Roman"/>
          <w:color w:val="222222"/>
          <w:sz w:val="24"/>
          <w:szCs w:val="24"/>
          <w:shd w:val="clear" w:color="auto" w:fill="ffffff"/>
        </w:rPr>
        <w:t>, H. (2016). Pharmaceutical pricing policies and procedures in Saudi Arabia: a narrative review. </w:t>
      </w:r>
      <w:r>
        <w:rPr>
          <w:rFonts w:ascii="Times New Roman" w:cs="Times New Roman" w:hAnsi="Times New Roman"/>
          <w:i/>
          <w:iCs/>
          <w:color w:val="222222"/>
          <w:sz w:val="24"/>
          <w:szCs w:val="24"/>
          <w:shd w:val="clear" w:color="auto" w:fill="ffffff"/>
        </w:rPr>
        <w:t>Therapeutic innovation &amp; regulatory science</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50</w:t>
      </w:r>
      <w:r>
        <w:rPr>
          <w:rFonts w:ascii="Times New Roman" w:cs="Times New Roman" w:hAnsi="Times New Roman"/>
          <w:color w:val="222222"/>
          <w:sz w:val="24"/>
          <w:szCs w:val="24"/>
          <w:shd w:val="clear" w:color="auto" w:fill="ffffff"/>
        </w:rPr>
        <w:t>(2), 236-240.</w:t>
      </w:r>
    </w:p>
    <w:p>
      <w:pPr>
        <w:pStyle w:val="style0"/>
        <w:spacing w:lineRule="auto" w:line="480"/>
        <w:ind w:left="720" w:hanging="720"/>
        <w:jc w:val="both"/>
        <w:rPr>
          <w:rFonts w:ascii="Times New Roman" w:cs="Times New Roman" w:eastAsia="Arial Unicode MS" w:hAnsi="Times New Roman"/>
          <w:color w:val="000000"/>
          <w:sz w:val="24"/>
          <w:szCs w:val="24"/>
          <w:shd w:val="clear" w:color="auto" w:fill="ffffff"/>
        </w:rPr>
      </w:pPr>
      <w:r>
        <w:rPr>
          <w:rFonts w:ascii="Times New Roman" w:cs="Times New Roman" w:eastAsia="Arial Unicode MS" w:hAnsi="Times New Roman"/>
          <w:color w:val="000000"/>
          <w:sz w:val="24"/>
          <w:szCs w:val="24"/>
          <w:shd w:val="clear" w:color="auto" w:fill="ffffff"/>
        </w:rPr>
        <w:t>Tulchinsky</w:t>
      </w:r>
      <w:r>
        <w:rPr>
          <w:rFonts w:ascii="Times New Roman" w:cs="Times New Roman" w:eastAsia="Arial Unicode MS" w:hAnsi="Times New Roman"/>
          <w:color w:val="000000"/>
          <w:sz w:val="24"/>
          <w:szCs w:val="24"/>
          <w:shd w:val="clear" w:color="auto" w:fill="ffffff"/>
        </w:rPr>
        <w:t xml:space="preserve">, T. H., &amp; </w:t>
      </w:r>
      <w:r>
        <w:rPr>
          <w:rFonts w:ascii="Times New Roman" w:cs="Times New Roman" w:eastAsia="Arial Unicode MS" w:hAnsi="Times New Roman"/>
          <w:color w:val="000000"/>
          <w:sz w:val="24"/>
          <w:szCs w:val="24"/>
          <w:shd w:val="clear" w:color="auto" w:fill="ffffff"/>
        </w:rPr>
        <w:t>Varavikova</w:t>
      </w:r>
      <w:r>
        <w:rPr>
          <w:rFonts w:ascii="Times New Roman" w:cs="Times New Roman" w:eastAsia="Arial Unicode MS" w:hAnsi="Times New Roman"/>
          <w:color w:val="000000"/>
          <w:sz w:val="24"/>
          <w:szCs w:val="24"/>
          <w:shd w:val="clear" w:color="auto" w:fill="ffffff"/>
        </w:rPr>
        <w:t>, E. (2009). </w:t>
      </w:r>
      <w:r>
        <w:rPr>
          <w:rFonts w:ascii="Times New Roman" w:cs="Times New Roman" w:eastAsia="Arial Unicode MS" w:hAnsi="Times New Roman"/>
          <w:i/>
          <w:iCs/>
          <w:color w:val="000000"/>
          <w:sz w:val="24"/>
          <w:szCs w:val="24"/>
          <w:shd w:val="clear" w:color="auto" w:fill="ffffff"/>
        </w:rPr>
        <w:t>The new public health</w:t>
      </w:r>
      <w:r>
        <w:rPr>
          <w:rFonts w:ascii="Times New Roman" w:cs="Times New Roman" w:eastAsia="Arial Unicode MS" w:hAnsi="Times New Roman"/>
          <w:color w:val="000000"/>
          <w:sz w:val="24"/>
          <w:szCs w:val="24"/>
          <w:shd w:val="clear" w:color="auto" w:fill="ffffff"/>
        </w:rPr>
        <w:t>. Amsterdam: Elsevier / Academic Press.</w:t>
      </w:r>
    </w:p>
    <w:p>
      <w:pPr>
        <w:pStyle w:val="style0"/>
        <w:spacing w:lineRule="auto" w:line="480"/>
        <w:ind w:left="720" w:hanging="720"/>
        <w:jc w:val="both"/>
        <w:rPr>
          <w:rFonts w:ascii="Times New Roman" w:cs="Times New Roman" w:hAnsi="Times New Roman"/>
          <w:color w:val="303030"/>
          <w:sz w:val="24"/>
          <w:szCs w:val="24"/>
          <w:shd w:val="clear" w:color="auto" w:fill="ffffff"/>
        </w:rPr>
      </w:pPr>
      <w:r>
        <w:rPr>
          <w:rFonts w:ascii="Times New Roman" w:cs="Times New Roman" w:hAnsi="Times New Roman"/>
          <w:color w:val="303030"/>
          <w:sz w:val="24"/>
          <w:szCs w:val="24"/>
          <w:shd w:val="clear" w:color="auto" w:fill="ffffff"/>
        </w:rPr>
        <w:t>Walston</w:t>
      </w:r>
      <w:r>
        <w:rPr>
          <w:rFonts w:ascii="Times New Roman" w:cs="Times New Roman" w:hAnsi="Times New Roman"/>
          <w:color w:val="303030"/>
          <w:sz w:val="24"/>
          <w:szCs w:val="24"/>
          <w:shd w:val="clear" w:color="auto" w:fill="ffffff"/>
        </w:rPr>
        <w:t>, S., Al-</w:t>
      </w:r>
      <w:r>
        <w:rPr>
          <w:rFonts w:ascii="Times New Roman" w:cs="Times New Roman" w:hAnsi="Times New Roman"/>
          <w:color w:val="303030"/>
          <w:sz w:val="24"/>
          <w:szCs w:val="24"/>
          <w:shd w:val="clear" w:color="auto" w:fill="ffffff"/>
        </w:rPr>
        <w:t>Harbi</w:t>
      </w:r>
      <w:r>
        <w:rPr>
          <w:rFonts w:ascii="Times New Roman" w:cs="Times New Roman" w:hAnsi="Times New Roman"/>
          <w:color w:val="303030"/>
          <w:sz w:val="24"/>
          <w:szCs w:val="24"/>
          <w:shd w:val="clear" w:color="auto" w:fill="ffffff"/>
        </w:rPr>
        <w:t>, Y., &amp; Al-Omar, B. (2008). The changing face of healthcare in Saudi Arabia. </w:t>
      </w:r>
      <w:r>
        <w:rPr>
          <w:rFonts w:ascii="Times New Roman" w:cs="Times New Roman" w:hAnsi="Times New Roman"/>
          <w:i/>
          <w:iCs/>
          <w:color w:val="303030"/>
          <w:sz w:val="24"/>
          <w:szCs w:val="24"/>
          <w:shd w:val="clear" w:color="auto" w:fill="ffffff"/>
        </w:rPr>
        <w:t>Annals of Saudi medicine</w:t>
      </w:r>
      <w:r>
        <w:rPr>
          <w:rFonts w:ascii="Times New Roman" w:cs="Times New Roman" w:hAnsi="Times New Roman"/>
          <w:color w:val="303030"/>
          <w:sz w:val="24"/>
          <w:szCs w:val="24"/>
          <w:shd w:val="clear" w:color="auto" w:fill="ffffff"/>
        </w:rPr>
        <w:t>, </w:t>
      </w:r>
      <w:r>
        <w:rPr>
          <w:rFonts w:ascii="Times New Roman" w:cs="Times New Roman" w:hAnsi="Times New Roman"/>
          <w:i/>
          <w:iCs/>
          <w:color w:val="303030"/>
          <w:sz w:val="24"/>
          <w:szCs w:val="24"/>
          <w:shd w:val="clear" w:color="auto" w:fill="ffffff"/>
        </w:rPr>
        <w:t>28</w:t>
      </w:r>
      <w:r>
        <w:rPr>
          <w:rFonts w:ascii="Times New Roman" w:cs="Times New Roman" w:hAnsi="Times New Roman"/>
          <w:color w:val="303030"/>
          <w:sz w:val="24"/>
          <w:szCs w:val="24"/>
          <w:shd w:val="clear" w:color="auto" w:fill="ffffff"/>
        </w:rPr>
        <w:t xml:space="preserve">(4), 243–250. </w:t>
      </w:r>
      <w:r>
        <w:rPr/>
        <w:fldChar w:fldCharType="begin"/>
      </w:r>
      <w:r>
        <w:instrText xml:space="preserve"> HYPERLINK "https://doi.org/10.5144/0256-4947.2008.243" </w:instrText>
      </w:r>
      <w:r>
        <w:rPr/>
        <w:fldChar w:fldCharType="separate"/>
      </w:r>
      <w:r>
        <w:rPr>
          <w:rStyle w:val="style85"/>
          <w:rFonts w:ascii="Times New Roman" w:cs="Times New Roman" w:hAnsi="Times New Roman"/>
          <w:sz w:val="24"/>
          <w:szCs w:val="24"/>
          <w:shd w:val="clear" w:color="auto" w:fill="ffffff"/>
        </w:rPr>
        <w:t>https://doi.org/10.5144/0256-4947.2008.243</w:t>
      </w:r>
      <w:r>
        <w:rPr/>
        <w:fldChar w:fldCharType="end"/>
      </w:r>
    </w:p>
    <w:p>
      <w:pPr>
        <w:pStyle w:val="style0"/>
        <w:spacing w:lineRule="auto" w:line="480"/>
        <w:jc w:val="both"/>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Arial Unicode MS">
    <w:altName w:val="Arial Unicode MS"/>
    <w:panose1 w:val="020b0604020002020204"/>
    <w:charset w:val="80"/>
    <w:family w:val="swiss"/>
    <w:pitch w:val="variable"/>
    <w:sig w:usb0="F7FFAFFF" w:usb1="E9DFFFFF" w:usb2="0000003F" w:usb3="00000000" w:csb0="003F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HEALTHCARE IN SAUDI ARABIA</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7</w:t>
    </w:r>
    <w:r>
      <w:rPr>
        <w:rFonts w:ascii="Times New Roman" w:cs="Times New Roman" w:hAnsi="Times New Roman"/>
        <w:noProof/>
        <w:sz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Running Head: HEALTHCARE IN SAUDI ARABIA</w:t>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1</w:t>
    </w:r>
    <w:r>
      <w:rPr>
        <w:rFonts w:ascii="Times New Roman" w:cs="Times New Roman" w:hAnsi="Times New Roman"/>
        <w:noProof/>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563c1"/>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9faedc85-c01c-44de-812b-0aa19a8acf5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7261c6fd-abdb-499b-aa25-ee3be5d747f5"/>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1341</Words>
  <Pages>7</Pages>
  <Characters>7897</Characters>
  <Application>WPS Office</Application>
  <DocSecurity>0</DocSecurity>
  <Paragraphs>59</Paragraphs>
  <ScaleCrop>false</ScaleCrop>
  <LinksUpToDate>false</LinksUpToDate>
  <CharactersWithSpaces>9217</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2020-03-16T13:58:45Z</dcterms:created>
  <dc:creator>Patrick</dc:creator>
  <lastModifiedBy>STK-L21</lastModifiedBy>
  <dcterms:modified xsi:type="dcterms:W3CDTF">2020-03-16T13:58:45Z</dcterms:modified>
  <revision>221</revision>
</coreProperties>
</file>

<file path=docProps/custom.xml><?xml version="1.0" encoding="utf-8"?>
<Properties xmlns="http://schemas.openxmlformats.org/officeDocument/2006/custom-properties" xmlns:vt="http://schemas.openxmlformats.org/officeDocument/2006/docPropsVTypes"/>
</file>